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ИНСТРУКЦИЯ</w:t>
      </w:r>
      <w:r>
        <w:rPr>
          <w:rFonts w:ascii="Times New Roman" w:hAnsi="Times New Roman"/>
          <w:b w:val="1"/>
          <w:sz w:val="28"/>
        </w:rPr>
        <w:t xml:space="preserve"> ДЛЯ ЗАКАЗЧИКОВ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 </w:t>
      </w:r>
      <w:r>
        <w:rPr>
          <w:rFonts w:ascii="Times New Roman" w:hAnsi="Times New Roman"/>
          <w:b w:val="1"/>
          <w:sz w:val="28"/>
        </w:rPr>
        <w:t>формированию</w:t>
      </w:r>
      <w:r>
        <w:rPr>
          <w:rFonts w:ascii="Times New Roman" w:hAnsi="Times New Roman"/>
          <w:b w:val="1"/>
          <w:sz w:val="28"/>
        </w:rPr>
        <w:t xml:space="preserve"> проект</w:t>
      </w:r>
      <w:r>
        <w:rPr>
          <w:rFonts w:ascii="Times New Roman" w:hAnsi="Times New Roman"/>
          <w:b w:val="1"/>
          <w:sz w:val="28"/>
        </w:rPr>
        <w:t>ов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описаний объектов закупки (</w:t>
      </w:r>
      <w:r>
        <w:rPr>
          <w:rFonts w:ascii="Times New Roman" w:hAnsi="Times New Roman"/>
          <w:b w:val="1"/>
          <w:sz w:val="28"/>
        </w:rPr>
        <w:t>технических заданий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 в Каталоге </w:t>
      </w:r>
      <w:r>
        <w:rPr>
          <w:rFonts w:ascii="Times New Roman" w:hAnsi="Times New Roman"/>
          <w:b w:val="1"/>
          <w:sz w:val="28"/>
        </w:rPr>
        <w:t xml:space="preserve"> товаров, работ, услуг </w:t>
      </w: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sz w:val="28"/>
        </w:rPr>
        <w:t>ID</w:t>
      </w:r>
      <w:r>
        <w:rPr>
          <w:rFonts w:ascii="Times New Roman" w:hAnsi="Times New Roman"/>
          <w:b w:val="1"/>
          <w:sz w:val="28"/>
        </w:rPr>
        <w:t xml:space="preserve">) </w:t>
      </w:r>
      <w:r>
        <w:rPr>
          <w:rFonts w:ascii="Times New Roman" w:hAnsi="Times New Roman"/>
          <w:b w:val="1"/>
          <w:sz w:val="28"/>
        </w:rPr>
        <w:t xml:space="preserve">региональной информационной системе в сфере закупок 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numPr>
          <w:ilvl w:val="0"/>
          <w:numId w:val="1"/>
        </w:numPr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Создание </w:t>
      </w:r>
      <w:r>
        <w:rPr>
          <w:rFonts w:ascii="Times New Roman" w:hAnsi="Times New Roman"/>
          <w:b w:val="1"/>
          <w:sz w:val="24"/>
        </w:rPr>
        <w:t>проекта технического задания (</w:t>
      </w:r>
      <w:r>
        <w:rPr>
          <w:rFonts w:ascii="Times New Roman" w:hAnsi="Times New Roman"/>
          <w:b w:val="1"/>
          <w:sz w:val="24"/>
        </w:rPr>
        <w:t>ID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5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вкладке «Каталог товаров, работ, услуг» необходимо выбрать «Создание ТЗ»</w:t>
      </w:r>
      <w:r>
        <w:rPr>
          <w:rFonts w:ascii="Times New Roman" w:hAnsi="Times New Roman"/>
          <w:sz w:val="24"/>
        </w:rPr>
        <w:t>.</w:t>
      </w:r>
    </w:p>
    <w:p w14:paraId="06000000">
      <w:pPr>
        <w:rPr>
          <w:rFonts w:ascii="Times New Roman" w:hAnsi="Times New Roman"/>
          <w:sz w:val="20"/>
        </w:rPr>
      </w:pPr>
      <w:r>
        <w:drawing>
          <wp:inline>
            <wp:extent cx="5931916" cy="2954528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931916" cy="295452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Заполнение документа «Позиция каталога товаров, работ, услуг». </w:t>
      </w:r>
    </w:p>
    <w:p w14:paraId="08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сформировавшемся окне «Позиция каталога товаров, работ, услуг» следует последовательно заполнить поля значениями по следующей схеме: «Тип: Товар», «Группа позиции каталога: </w:t>
      </w:r>
      <w:r>
        <w:rPr>
          <w:rFonts w:ascii="Times New Roman" w:hAnsi="Times New Roman"/>
          <w:sz w:val="24"/>
        </w:rPr>
        <w:t>Моющие и чистящие средства</w:t>
      </w:r>
      <w:r>
        <w:rPr>
          <w:rFonts w:ascii="Times New Roman" w:hAnsi="Times New Roman"/>
          <w:sz w:val="24"/>
        </w:rPr>
        <w:t>», «ОКПД2: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20.41.44.120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14:paraId="0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inline>
            <wp:extent cx="5930265" cy="3125851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5746"/>
                    <a:stretch/>
                  </pic:blipFill>
                  <pic:spPr>
                    <a:xfrm flipH="false" flipV="false" rot="0">
                      <a:ext cx="5930265" cy="312585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поля «Ограничение допуска отдельных видов</w:t>
      </w:r>
      <w:r>
        <w:rPr>
          <w:rFonts w:ascii="Times New Roman" w:hAnsi="Times New Roman"/>
          <w:sz w:val="24"/>
        </w:rPr>
        <w:t xml:space="preserve"> медицинских изделий …</w:t>
      </w:r>
      <w:r>
        <w:rPr>
          <w:rFonts w:ascii="Times New Roman" w:hAnsi="Times New Roman"/>
          <w:sz w:val="24"/>
        </w:rPr>
        <w:t>» выбрать «Нет».</w:t>
      </w:r>
    </w:p>
    <w:p w14:paraId="0B000000">
      <w:pPr>
        <w:rPr>
          <w:rFonts w:ascii="Times New Roman" w:hAnsi="Times New Roman"/>
          <w:sz w:val="24"/>
        </w:rPr>
      </w:pPr>
      <w:r>
        <w:drawing>
          <wp:inline>
            <wp:extent cx="5933567" cy="1626997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933567" cy="162699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Выбор позиции КТРУ</w:t>
      </w:r>
    </w:p>
    <w:p w14:paraId="0D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вкладке «Характеристики КТРУ» в поле «Код каталога продукции:» необходимо выбрать из списка позицию КТРУ и </w:t>
      </w:r>
      <w:r>
        <w:rPr>
          <w:rFonts w:ascii="Times New Roman" w:hAnsi="Times New Roman"/>
          <w:sz w:val="24"/>
        </w:rPr>
        <w:t>установить характеристики</w:t>
      </w:r>
      <w:r>
        <w:rPr>
          <w:rFonts w:ascii="Times New Roman" w:hAnsi="Times New Roman"/>
          <w:sz w:val="24"/>
        </w:rPr>
        <w:t xml:space="preserve"> с учетом потребности в планируемых к закупке товарах </w:t>
      </w:r>
      <w:r>
        <w:rPr>
          <w:rFonts w:ascii="Times New Roman" w:hAnsi="Times New Roman"/>
          <w:sz w:val="24"/>
        </w:rPr>
        <w:t xml:space="preserve">по следующим </w:t>
      </w:r>
      <w:r>
        <w:rPr>
          <w:rFonts w:ascii="Times New Roman" w:hAnsi="Times New Roman"/>
          <w:sz w:val="24"/>
        </w:rPr>
        <w:t>кодам</w:t>
      </w:r>
      <w:r>
        <w:rPr>
          <w:rFonts w:ascii="Times New Roman" w:hAnsi="Times New Roman"/>
          <w:sz w:val="24"/>
        </w:rPr>
        <w:t>:</w:t>
      </w:r>
    </w:p>
    <w:p w14:paraId="0E000000">
      <w:pPr>
        <w:tabs>
          <w:tab w:leader="none" w:pos="4677" w:val="center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20.41.44.120-00000002</w:t>
      </w:r>
    </w:p>
    <w:p w14:paraId="0F000000">
      <w:pPr>
        <w:tabs>
          <w:tab w:leader="none" w:pos="4677" w:val="center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20.41.44.120-00000004</w:t>
      </w:r>
    </w:p>
    <w:p w14:paraId="10000000">
      <w:pPr>
        <w:tabs>
          <w:tab w:leader="none" w:pos="4677" w:val="center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20.41.31.130-00000003</w:t>
      </w:r>
    </w:p>
    <w:p w14:paraId="11000000">
      <w:pPr>
        <w:tabs>
          <w:tab w:leader="none" w:pos="4677" w:val="center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2000000">
      <w:pPr>
        <w:tabs>
          <w:tab w:leader="none" w:pos="4677" w:val="center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Запол</w:t>
      </w:r>
      <w:r>
        <w:rPr>
          <w:rFonts w:ascii="Times New Roman" w:hAnsi="Times New Roman"/>
          <w:b w:val="1"/>
          <w:sz w:val="24"/>
        </w:rPr>
        <w:t>нение характеристик из КТРУ.</w:t>
      </w:r>
    </w:p>
    <w:p w14:paraId="13000000">
      <w:pPr>
        <w:tabs>
          <w:tab w:leader="none" w:pos="4677" w:val="center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</w:p>
    <w:p w14:paraId="14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оля </w:t>
      </w:r>
      <w:r>
        <w:rPr>
          <w:rFonts w:ascii="Times New Roman" w:hAnsi="Times New Roman"/>
          <w:sz w:val="24"/>
        </w:rPr>
        <w:t xml:space="preserve">с наименованиями </w:t>
      </w:r>
      <w:r>
        <w:rPr>
          <w:rFonts w:ascii="Times New Roman" w:hAnsi="Times New Roman"/>
          <w:sz w:val="24"/>
        </w:rPr>
        <w:t xml:space="preserve">«Краткое описание» и «Функциональные, технические, качественные характеристики, эксплуатационные характеристики» заполняются с учетом выбранных характеристик в КТРУ </w:t>
      </w:r>
      <w:r>
        <w:rPr>
          <w:rFonts w:ascii="Times New Roman" w:hAnsi="Times New Roman"/>
          <w:sz w:val="24"/>
        </w:rPr>
        <w:t>как показано на изображении ниже. В поле «Функциональные, технические, качественные характеристики, эксплуатационные характеристики» указываются все выбранные характеристики из КТРУ.</w:t>
      </w:r>
      <w:r>
        <w:rPr>
          <w:rFonts w:ascii="Times New Roman" w:hAnsi="Times New Roman"/>
          <w:sz w:val="24"/>
        </w:rPr>
        <w:t xml:space="preserve"> </w:t>
      </w:r>
    </w:p>
    <w:p w14:paraId="15000000">
      <w:pPr>
        <w:tabs>
          <w:tab w:leader="none" w:pos="3026" w:val="left"/>
        </w:tabs>
        <w:ind/>
        <w:rPr>
          <w:rFonts w:ascii="Times New Roman" w:hAnsi="Times New Roman"/>
          <w:sz w:val="20"/>
        </w:rPr>
      </w:pPr>
      <w:r>
        <w:drawing>
          <wp:inline>
            <wp:extent cx="5938012" cy="3317367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5938012" cy="331736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6000000">
      <w:pPr>
        <w:ind w:firstLine="0"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Затем документ необходимо сохранить.</w:t>
      </w:r>
    </w:p>
    <w:p w14:paraId="17000000">
      <w:pPr>
        <w:ind/>
        <w:jc w:val="both"/>
        <w:rPr>
          <w:rFonts w:ascii="Times New Roman" w:hAnsi="Times New Roman"/>
          <w:sz w:val="20"/>
        </w:rPr>
      </w:pPr>
      <w:r>
        <w:drawing>
          <wp:inline>
            <wp:extent cx="4742815" cy="129540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4742815" cy="1295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8000000">
      <w:pPr>
        <w:ind w:firstLine="0" w:left="720"/>
        <w:rPr>
          <w:rFonts w:ascii="Times New Roman" w:hAnsi="Times New Roman"/>
          <w:b w:val="1"/>
          <w:sz w:val="24"/>
        </w:rPr>
      </w:pPr>
    </w:p>
    <w:p w14:paraId="19000000">
      <w:pPr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Согласование позиции каталога товаров, работ, услуг</w:t>
      </w:r>
    </w:p>
    <w:p w14:paraId="1A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согласования позиции каталога товаров, работ, услуг необходимо направить документ по маршруту на согласование</w:t>
      </w:r>
      <w:r>
        <w:rPr>
          <w:rFonts w:ascii="Times New Roman" w:hAnsi="Times New Roman"/>
          <w:sz w:val="24"/>
        </w:rPr>
        <w:t xml:space="preserve"> в Комитет</w:t>
      </w:r>
      <w:r>
        <w:rPr>
          <w:rFonts w:ascii="Times New Roman" w:hAnsi="Times New Roman"/>
          <w:sz w:val="24"/>
        </w:rPr>
        <w:t>. По первому нажатию документ ставится на маршрут, по второму - отправляется на согласование</w:t>
      </w:r>
      <w:r>
        <w:rPr>
          <w:rFonts w:ascii="Times New Roman" w:hAnsi="Times New Roman"/>
          <w:sz w:val="24"/>
        </w:rPr>
        <w:t xml:space="preserve"> в Комитет</w:t>
      </w:r>
      <w:r>
        <w:rPr>
          <w:rFonts w:ascii="Times New Roman" w:hAnsi="Times New Roman"/>
          <w:sz w:val="24"/>
        </w:rPr>
        <w:t>.</w:t>
      </w:r>
    </w:p>
    <w:p w14:paraId="1B000000">
      <w:pPr>
        <w:tabs>
          <w:tab w:leader="none" w:pos="3934" w:val="left"/>
        </w:tabs>
        <w:ind/>
        <w:rPr>
          <w:rFonts w:ascii="Times New Roman" w:hAnsi="Times New Roman"/>
          <w:sz w:val="20"/>
        </w:rPr>
      </w:pPr>
      <w:r>
        <w:drawing>
          <wp:inline>
            <wp:extent cx="5974080" cy="169545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5974080" cy="16954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C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рассм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рения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Комитетом (в течение двух рабочих дней) при согласовании </w:t>
      </w:r>
      <w:r>
        <w:rPr>
          <w:rFonts w:ascii="Times New Roman" w:hAnsi="Times New Roman"/>
          <w:sz w:val="24"/>
        </w:rPr>
        <w:t>новая позиция каталога будет включена в перечень действующих технических заданий или отправлена на доработку заказчику.</w:t>
      </w:r>
    </w:p>
    <w:sectPr>
      <w:pgSz w:h="16838" w:orient="portrait" w:w="11906"/>
      <w:pgMar w:bottom="1134" w:footer="709" w:gutter="0" w:header="709" w:left="1701" w:right="850" w:top="1134"/>
      <w:pgNumType w:start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es-el-code-term"/>
    <w:link w:val="Style_3_ch"/>
  </w:style>
  <w:style w:styleId="Style_3_ch" w:type="character">
    <w:name w:val="es-el-code-term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ertext"/>
    <w:basedOn w:val="Style_1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headertext"/>
    <w:basedOn w:val="Style_1_ch"/>
    <w:link w:val="Style_7"/>
    <w:rPr>
      <w:rFonts w:ascii="Times New Roman" w:hAnsi="Times New Roman"/>
      <w:sz w:val="24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oter"/>
    <w:basedOn w:val="Style_1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1_ch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er"/>
    <w:basedOn w:val="Style_1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1_ch"/>
    <w:link w:val="Style_11"/>
  </w:style>
  <w:style w:styleId="Style_12" w:type="paragraph">
    <w:name w:val="ng-binding"/>
    <w:link w:val="Style_12_ch"/>
  </w:style>
  <w:style w:styleId="Style_12_ch" w:type="character">
    <w:name w:val="ng-binding"/>
    <w:link w:val="Style_12"/>
  </w:style>
  <w:style w:styleId="Style_13" w:type="paragraph">
    <w:name w:val="List Paragraph"/>
    <w:basedOn w:val="Style_1"/>
    <w:link w:val="Style_13_ch"/>
    <w:pPr>
      <w:ind w:firstLine="0" w:left="720"/>
      <w:contextualSpacing w:val="1"/>
    </w:pPr>
    <w:rPr>
      <w:rFonts w:ascii="Calibri" w:hAnsi="Calibri"/>
    </w:rPr>
  </w:style>
  <w:style w:styleId="Style_13_ch" w:type="character">
    <w:name w:val="List Paragraph"/>
    <w:basedOn w:val="Style_1_ch"/>
    <w:link w:val="Style_13"/>
    <w:rPr>
      <w:rFonts w:ascii="Calibri" w:hAnsi="Calibri"/>
    </w:rPr>
  </w:style>
  <w:style w:styleId="Style_14" w:type="paragraph">
    <w:name w:val="toc 3"/>
    <w:next w:val="Style_1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strike w:val="0"/>
      <w:color w:val="0065DD"/>
      <w:u w:val="none"/>
    </w:rPr>
  </w:style>
  <w:style w:styleId="Style_17_ch" w:type="character">
    <w:name w:val="Hyperlink"/>
    <w:link w:val="Style_17"/>
    <w:rPr>
      <w:strike w:val="0"/>
      <w:color w:val="0065DD"/>
      <w:u w:val="non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ody Text Indent"/>
    <w:basedOn w:val="Style_1"/>
    <w:link w:val="Style_22_ch"/>
    <w:pPr>
      <w:widowControl w:val="0"/>
      <w:spacing w:after="0" w:line="360" w:lineRule="auto"/>
      <w:ind w:firstLine="720" w:left="0"/>
      <w:jc w:val="both"/>
    </w:pPr>
    <w:rPr>
      <w:rFonts w:ascii="Times New Roman" w:hAnsi="Times New Roman"/>
      <w:sz w:val="26"/>
    </w:rPr>
  </w:style>
  <w:style w:styleId="Style_22_ch" w:type="character">
    <w:name w:val="Body Text Indent"/>
    <w:basedOn w:val="Style_1_ch"/>
    <w:link w:val="Style_22"/>
    <w:rPr>
      <w:rFonts w:ascii="Times New Roman" w:hAnsi="Times New Roman"/>
      <w:sz w:val="26"/>
    </w:rPr>
  </w:style>
  <w:style w:styleId="Style_23" w:type="paragraph">
    <w:name w:val="toc 8"/>
    <w:next w:val="Style_1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Normal (Web)"/>
    <w:basedOn w:val="Style_1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Normal (Web)"/>
    <w:basedOn w:val="Style_1_ch"/>
    <w:link w:val="Style_24"/>
    <w:rPr>
      <w:rFonts w:ascii="Times New Roman" w:hAnsi="Times New Roman"/>
      <w:sz w:val="24"/>
    </w:rPr>
  </w:style>
  <w:style w:styleId="Style_25" w:type="paragraph">
    <w:name w:val="Основной текст с отступом Знак"/>
    <w:link w:val="Style_25_ch"/>
    <w:rPr>
      <w:sz w:val="22"/>
    </w:rPr>
  </w:style>
  <w:style w:styleId="Style_25_ch" w:type="character">
    <w:name w:val="Основной текст с отступом Знак"/>
    <w:link w:val="Style_25"/>
    <w:rPr>
      <w:sz w:val="22"/>
    </w:rPr>
  </w:style>
  <w:style w:styleId="Style_26" w:type="paragraph">
    <w:name w:val="toc 5"/>
    <w:next w:val="Style_1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1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1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Balloon Text"/>
    <w:basedOn w:val="Style_1"/>
    <w:link w:val="Style_31_ch"/>
    <w:pPr>
      <w:spacing w:after="0" w:line="240" w:lineRule="auto"/>
      <w:ind/>
    </w:pPr>
    <w:rPr>
      <w:rFonts w:ascii="Tahoma" w:hAnsi="Tahoma"/>
      <w:sz w:val="16"/>
    </w:rPr>
  </w:style>
  <w:style w:styleId="Style_31_ch" w:type="character">
    <w:name w:val="Balloon Text"/>
    <w:basedOn w:val="Style_1_ch"/>
    <w:link w:val="Style_31"/>
    <w:rPr>
      <w:rFonts w:ascii="Tahoma" w:hAnsi="Tahoma"/>
      <w:sz w:val="16"/>
    </w:rPr>
  </w:style>
  <w:style w:styleId="Style_32" w:type="table">
    <w:name w:val="Table Grid"/>
    <w:basedOn w:val="Style_3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6.png" Type="http://schemas.openxmlformats.org/officeDocument/2006/relationships/imag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12" Target="theme/theme1.xml" Type="http://schemas.openxmlformats.org/officeDocument/2006/relationships/them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2023-03-01T13:05:38Z</dcterms:modified>
</cp:coreProperties>
</file>